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D5D22D">
      <w:pPr>
        <w:jc w:val="center"/>
        <w:rPr>
          <w:b/>
        </w:rPr>
      </w:pPr>
      <w:r>
        <w:rPr>
          <w:b/>
        </w:rPr>
        <w:t>ДОКЛАД</w:t>
      </w:r>
    </w:p>
    <w:p w14:paraId="43819E2A">
      <w:pPr>
        <w:jc w:val="center"/>
      </w:pPr>
      <w:r>
        <w:rPr>
          <w:b/>
        </w:rPr>
        <w:t xml:space="preserve">Към проект за приемане на подзаконов нормативен акт – Наредба </w:t>
      </w:r>
      <w:r>
        <w:rPr>
          <w:rStyle w:val="9"/>
          <w:b/>
        </w:rPr>
        <w:t xml:space="preserve">за изменение и допълнение на </w:t>
      </w:r>
      <w:r>
        <w:rPr>
          <w:b/>
          <w:spacing w:val="-2"/>
        </w:rPr>
        <w:t xml:space="preserve">НАРЕДБА </w:t>
      </w:r>
      <w:r>
        <w:rPr>
          <w:b/>
        </w:rPr>
        <w:t>за условията и реда за упражняване на правата на собственост на Община Съединение в търговски дружества с общинско участие в капитала и за участието на Общината в граждански дружества и в сдружения</w:t>
      </w:r>
      <w:r>
        <w:rPr>
          <w:b/>
          <w:spacing w:val="-6"/>
        </w:rPr>
        <w:t xml:space="preserve"> </w:t>
      </w:r>
      <w:r>
        <w:rPr>
          <w:b/>
        </w:rPr>
        <w:t>с</w:t>
      </w:r>
      <w:r>
        <w:rPr>
          <w:b/>
          <w:spacing w:val="-4"/>
        </w:rPr>
        <w:t xml:space="preserve"> </w:t>
      </w:r>
      <w:r>
        <w:rPr>
          <w:b/>
        </w:rPr>
        <w:t>нестопанска</w:t>
      </w:r>
      <w:r>
        <w:rPr>
          <w:b/>
          <w:spacing w:val="-4"/>
        </w:rPr>
        <w:t xml:space="preserve"> </w:t>
      </w:r>
      <w:r>
        <w:rPr>
          <w:b/>
        </w:rPr>
        <w:t>цел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сключването</w:t>
      </w:r>
      <w:r>
        <w:rPr>
          <w:b/>
          <w:spacing w:val="-3"/>
        </w:rPr>
        <w:t xml:space="preserve"> </w:t>
      </w:r>
      <w:r>
        <w:rPr>
          <w:b/>
        </w:rPr>
        <w:t>на</w:t>
      </w:r>
      <w:r>
        <w:rPr>
          <w:b/>
          <w:spacing w:val="-3"/>
        </w:rPr>
        <w:t xml:space="preserve"> </w:t>
      </w:r>
      <w:r>
        <w:rPr>
          <w:b/>
        </w:rPr>
        <w:t>договори</w:t>
      </w:r>
      <w:r>
        <w:rPr>
          <w:b/>
          <w:spacing w:val="-5"/>
        </w:rPr>
        <w:t xml:space="preserve"> </w:t>
      </w:r>
      <w:r>
        <w:rPr>
          <w:b/>
        </w:rPr>
        <w:t>за</w:t>
      </w:r>
      <w:r>
        <w:rPr>
          <w:b/>
          <w:spacing w:val="-4"/>
        </w:rPr>
        <w:t xml:space="preserve"> </w:t>
      </w:r>
      <w:r>
        <w:rPr>
          <w:b/>
        </w:rPr>
        <w:t xml:space="preserve">съвместна </w:t>
      </w:r>
      <w:r>
        <w:rPr>
          <w:b/>
          <w:spacing w:val="-2"/>
        </w:rPr>
        <w:t>дейност</w:t>
      </w:r>
    </w:p>
    <w:p w14:paraId="2454AEAB">
      <w:pPr>
        <w:spacing w:before="0" w:beforeAutospacing="0" w:after="0" w:afterAutospacing="0"/>
        <w:ind w:firstLine="540"/>
        <w:jc w:val="both"/>
      </w:pPr>
      <w:r>
        <w:t>Настоящият доклад съдържа мотивите, въз основа на които е изработен проектът на нормативния акт, обуславящи необходимостта от приемането му и конкретното съдържание на отделни негови разпоредби. Докладът е изготвен в изпълнение на разпоредбите на чл. 28 от Закона за нормативните актове /ЗНА/ и е неразделна част от проекта на нормативния акт.</w:t>
      </w:r>
    </w:p>
    <w:p w14:paraId="774C49C8">
      <w:pPr>
        <w:numPr>
          <w:ilvl w:val="0"/>
          <w:numId w:val="1"/>
        </w:numPr>
        <w:spacing w:before="0" w:beforeAutospacing="0" w:after="0" w:afterAutospacing="0"/>
        <w:ind w:left="0" w:firstLine="540"/>
        <w:jc w:val="both"/>
        <w:rPr>
          <w:rStyle w:val="9"/>
          <w:b/>
        </w:rPr>
      </w:pPr>
      <w:r>
        <w:rPr>
          <w:rStyle w:val="9"/>
          <w:b/>
        </w:rPr>
        <w:t xml:space="preserve"> Причини, които налагат приемането на нормативния акт:</w:t>
      </w:r>
    </w:p>
    <w:p w14:paraId="20C2E856">
      <w:pPr>
        <w:spacing w:before="0" w:beforeAutospacing="0" w:after="0" w:afterAutospacing="0"/>
        <w:ind w:firstLine="540"/>
        <w:jc w:val="both"/>
        <w:rPr>
          <w:bCs/>
        </w:rPr>
      </w:pPr>
      <w:r>
        <w:rPr>
          <w:bCs/>
        </w:rPr>
        <w:t xml:space="preserve">На територията на Община Съединение действа </w:t>
      </w:r>
      <w:r>
        <w:rPr>
          <w:b/>
          <w:spacing w:val="-2"/>
        </w:rPr>
        <w:t xml:space="preserve">НАРЕДБА </w:t>
      </w:r>
      <w:r>
        <w:rPr>
          <w:b/>
        </w:rPr>
        <w:t>за условията и реда за упражняване на правата на собственост на Община Съединение в търговски дружества с общинско участие в капитала и за участието на Общината в граждански дружества и в сдружения</w:t>
      </w:r>
      <w:r>
        <w:rPr>
          <w:b/>
          <w:spacing w:val="-6"/>
        </w:rPr>
        <w:t xml:space="preserve"> </w:t>
      </w:r>
      <w:r>
        <w:rPr>
          <w:b/>
        </w:rPr>
        <w:t>с</w:t>
      </w:r>
      <w:r>
        <w:rPr>
          <w:b/>
          <w:spacing w:val="-4"/>
        </w:rPr>
        <w:t xml:space="preserve"> </w:t>
      </w:r>
      <w:r>
        <w:rPr>
          <w:b/>
        </w:rPr>
        <w:t>нестопанска</w:t>
      </w:r>
      <w:r>
        <w:rPr>
          <w:b/>
          <w:spacing w:val="-4"/>
        </w:rPr>
        <w:t xml:space="preserve"> </w:t>
      </w:r>
      <w:r>
        <w:rPr>
          <w:b/>
        </w:rPr>
        <w:t>цел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сключването</w:t>
      </w:r>
      <w:r>
        <w:rPr>
          <w:b/>
          <w:spacing w:val="-3"/>
        </w:rPr>
        <w:t xml:space="preserve"> </w:t>
      </w:r>
      <w:r>
        <w:rPr>
          <w:b/>
        </w:rPr>
        <w:t>на</w:t>
      </w:r>
      <w:r>
        <w:rPr>
          <w:b/>
          <w:spacing w:val="-3"/>
        </w:rPr>
        <w:t xml:space="preserve"> </w:t>
      </w:r>
      <w:r>
        <w:rPr>
          <w:b/>
        </w:rPr>
        <w:t>договори</w:t>
      </w:r>
      <w:r>
        <w:rPr>
          <w:b/>
          <w:spacing w:val="-5"/>
        </w:rPr>
        <w:t xml:space="preserve"> </w:t>
      </w:r>
      <w:r>
        <w:rPr>
          <w:b/>
        </w:rPr>
        <w:t>за</w:t>
      </w:r>
      <w:r>
        <w:rPr>
          <w:b/>
          <w:spacing w:val="-4"/>
        </w:rPr>
        <w:t xml:space="preserve"> </w:t>
      </w:r>
      <w:r>
        <w:rPr>
          <w:b/>
        </w:rPr>
        <w:t xml:space="preserve">съвместна </w:t>
      </w:r>
      <w:r>
        <w:rPr>
          <w:b/>
          <w:spacing w:val="-2"/>
        </w:rPr>
        <w:t>дейност</w:t>
      </w:r>
      <w:r>
        <w:rPr>
          <w:b/>
        </w:rPr>
        <w:t>.</w:t>
      </w:r>
      <w:r>
        <w:rPr>
          <w:bCs/>
        </w:rPr>
        <w:t xml:space="preserve">  В текстовете на Наредбата са предвидени норми, регламентиращи отношения между община Съединение и засегнатите от приложението на наредбата лица, които имат финансово или парично изражение, определено като стойност в български лева, съответстващо на действащата към настоящия момент в страната парична единица - български лев. </w:t>
      </w:r>
    </w:p>
    <w:p w14:paraId="7FF50D33">
      <w:pPr>
        <w:spacing w:before="0" w:beforeAutospacing="0" w:after="0" w:afterAutospacing="0"/>
        <w:ind w:firstLine="539"/>
        <w:jc w:val="both"/>
        <w:rPr>
          <w:bCs/>
        </w:rPr>
      </w:pPr>
      <w:r>
        <w:rPr>
          <w:bCs/>
        </w:rPr>
        <w:t xml:space="preserve">В бр. 70/20.08.2024г. на ДВ е обнародван Закон за въвеждане на еврото в Република България /ЗВЕРБ/, който ще се прилага считано </w:t>
      </w:r>
      <w:r>
        <w:rPr>
          <w:rFonts w:eastAsia="Tahoma"/>
          <w:shd w:val="clear" w:color="auto" w:fill="FFFFFF"/>
        </w:rPr>
        <w:t>от датата, определена в Решение на Съвета на Европейския съюз за приемането на еврото от Република България, прието в съответствие с </w:t>
      </w:r>
      <w:r>
        <w:fldChar w:fldCharType="begin"/>
      </w:r>
      <w:r>
        <w:instrText xml:space="preserve"> HYPERLINK "javascript:%20NavigateDocument('%D0%94%D0%A4%D0%95%D0%A1" \l "%D1%87%D0%BB140_%D1%822');" </w:instrText>
      </w:r>
      <w:r>
        <w:fldChar w:fldCharType="separate"/>
      </w:r>
      <w:r>
        <w:rPr>
          <w:rStyle w:val="8"/>
          <w:rFonts w:eastAsia="Tahoma"/>
          <w:color w:val="auto"/>
          <w:u w:val="none"/>
          <w:shd w:val="clear" w:color="auto" w:fill="FFFFFF"/>
        </w:rPr>
        <w:t>чл. 140, параграф 2</w:t>
      </w:r>
      <w:r>
        <w:rPr>
          <w:rStyle w:val="8"/>
          <w:rFonts w:eastAsia="Tahoma"/>
          <w:color w:val="auto"/>
          <w:u w:val="none"/>
          <w:shd w:val="clear" w:color="auto" w:fill="FFFFFF"/>
        </w:rPr>
        <w:fldChar w:fldCharType="end"/>
      </w:r>
      <w:r>
        <w:rPr>
          <w:rFonts w:eastAsia="Tahoma"/>
          <w:shd w:val="clear" w:color="auto" w:fill="FFFFFF"/>
        </w:rPr>
        <w:t> от </w:t>
      </w:r>
      <w:r>
        <w:fldChar w:fldCharType="begin"/>
      </w:r>
      <w:r>
        <w:instrText xml:space="preserve"> HYPERLINK "javascript:%20NavigateDocument('%D0%94%D0%A4%D0%95%D0%A1');" </w:instrText>
      </w:r>
      <w:r>
        <w:fldChar w:fldCharType="separate"/>
      </w:r>
      <w:r>
        <w:rPr>
          <w:rStyle w:val="8"/>
          <w:rFonts w:eastAsia="Tahoma"/>
          <w:color w:val="auto"/>
          <w:u w:val="none"/>
          <w:shd w:val="clear" w:color="auto" w:fill="FFFFFF"/>
        </w:rPr>
        <w:t>ДФЕС</w:t>
      </w:r>
      <w:r>
        <w:rPr>
          <w:rStyle w:val="8"/>
          <w:rFonts w:eastAsia="Tahoma"/>
          <w:color w:val="auto"/>
          <w:u w:val="none"/>
          <w:shd w:val="clear" w:color="auto" w:fill="FFFFFF"/>
        </w:rPr>
        <w:fldChar w:fldCharType="end"/>
      </w:r>
      <w:r>
        <w:rPr>
          <w:rFonts w:eastAsia="Tahoma"/>
          <w:shd w:val="clear" w:color="auto" w:fill="FFFFFF"/>
        </w:rPr>
        <w:t>, и Регламент на Съвета на Европейския съюз, приет в съответствие с </w:t>
      </w:r>
      <w:r>
        <w:fldChar w:fldCharType="begin"/>
      </w:r>
      <w:r>
        <w:instrText xml:space="preserve"> HYPERLINK "javascript:%20NavigateDocument('%D0%94%D0%A4%D0%95%D0%A1" \l "%D1%87%D0%BB140_%D1%823');" </w:instrText>
      </w:r>
      <w:r>
        <w:fldChar w:fldCharType="separate"/>
      </w:r>
      <w:r>
        <w:rPr>
          <w:rStyle w:val="8"/>
          <w:rFonts w:eastAsia="Tahoma"/>
          <w:color w:val="auto"/>
          <w:u w:val="none"/>
          <w:shd w:val="clear" w:color="auto" w:fill="FFFFFF"/>
        </w:rPr>
        <w:t>чл. 140, параграф 3</w:t>
      </w:r>
      <w:r>
        <w:rPr>
          <w:rStyle w:val="8"/>
          <w:rFonts w:eastAsia="Tahoma"/>
          <w:color w:val="auto"/>
          <w:u w:val="none"/>
          <w:shd w:val="clear" w:color="auto" w:fill="FFFFFF"/>
        </w:rPr>
        <w:fldChar w:fldCharType="end"/>
      </w:r>
      <w:r>
        <w:rPr>
          <w:rFonts w:eastAsia="Tahoma"/>
          <w:shd w:val="clear" w:color="auto" w:fill="FFFFFF"/>
        </w:rPr>
        <w:t> от </w:t>
      </w:r>
      <w:r>
        <w:fldChar w:fldCharType="begin"/>
      </w:r>
      <w:r>
        <w:instrText xml:space="preserve"> HYPERLINK "javascript:%20NavigateDocument('%D0%94%D0%A4%D0%95%D0%A1');" </w:instrText>
      </w:r>
      <w:r>
        <w:fldChar w:fldCharType="separate"/>
      </w:r>
      <w:r>
        <w:rPr>
          <w:rStyle w:val="8"/>
          <w:rFonts w:eastAsia="Tahoma"/>
          <w:color w:val="auto"/>
          <w:u w:val="none"/>
          <w:shd w:val="clear" w:color="auto" w:fill="FFFFFF"/>
        </w:rPr>
        <w:t>ДФЕС</w:t>
      </w:r>
      <w:r>
        <w:rPr>
          <w:rStyle w:val="8"/>
          <w:rFonts w:eastAsia="Tahoma"/>
          <w:color w:val="auto"/>
          <w:u w:val="none"/>
          <w:shd w:val="clear" w:color="auto" w:fill="FFFFFF"/>
        </w:rPr>
        <w:fldChar w:fldCharType="end"/>
      </w:r>
      <w:r>
        <w:rPr>
          <w:rFonts w:eastAsia="Tahoma"/>
          <w:shd w:val="clear" w:color="auto" w:fill="FFFFFF"/>
        </w:rPr>
        <w:t>.</w:t>
      </w:r>
      <w:r>
        <w:rPr>
          <w:bCs/>
        </w:rPr>
        <w:t xml:space="preserve"> </w:t>
      </w:r>
    </w:p>
    <w:p w14:paraId="66FBD122">
      <w:pPr>
        <w:spacing w:before="0" w:beforeAutospacing="0" w:after="0" w:afterAutospacing="0"/>
        <w:ind w:firstLine="539"/>
        <w:jc w:val="both"/>
        <w:rPr>
          <w:bCs/>
        </w:rPr>
      </w:pPr>
      <w:r>
        <w:rPr>
          <w:bCs/>
        </w:rPr>
        <w:t>С разпоредбата на §6 от ПЗР на ЗВЕРБ е предвидено следното:</w:t>
      </w:r>
    </w:p>
    <w:p w14:paraId="6AC73D0E">
      <w:pPr>
        <w:spacing w:before="0" w:beforeAutospacing="0" w:after="0" w:afterAutospacing="0"/>
        <w:ind w:firstLine="539"/>
        <w:jc w:val="both"/>
        <w:rPr>
          <w:rFonts w:eastAsia="Tahoma"/>
          <w:i/>
          <w:iCs/>
          <w:color w:val="000000"/>
          <w:shd w:val="clear" w:color="auto" w:fill="FFFFFF"/>
        </w:rPr>
      </w:pPr>
      <w:r>
        <w:rPr>
          <w:rFonts w:eastAsia="Tahoma"/>
          <w:i/>
          <w:iCs/>
          <w:color w:val="000000"/>
          <w:shd w:val="clear" w:color="auto" w:fill="FFFFFF"/>
        </w:rPr>
        <w:t>§ 6.  (1) Държавните органи и органите на местното самоуправление приемат в 6-месечен срок от влизането в сила на този закон:</w:t>
      </w:r>
    </w:p>
    <w:p w14:paraId="08E3379D">
      <w:pPr>
        <w:spacing w:before="0" w:beforeAutospacing="0" w:after="0" w:afterAutospacing="0"/>
        <w:ind w:firstLine="539"/>
        <w:jc w:val="both"/>
        <w:rPr>
          <w:rFonts w:eastAsia="Tahoma"/>
          <w:i/>
          <w:iCs/>
          <w:color w:val="000000"/>
          <w:shd w:val="clear" w:color="auto" w:fill="FFFFFF"/>
        </w:rPr>
      </w:pPr>
      <w:r>
        <w:rPr>
          <w:rFonts w:eastAsia="Tahoma"/>
          <w:i/>
          <w:iCs/>
          <w:color w:val="000000"/>
          <w:shd w:val="clear" w:color="auto" w:fill="FFFFFF"/>
        </w:rPr>
        <w:t>1. подзаконови нормативни актове по прилагането на този закон;</w:t>
      </w:r>
    </w:p>
    <w:p w14:paraId="6A388D57">
      <w:pPr>
        <w:spacing w:before="0" w:beforeAutospacing="0" w:after="0" w:afterAutospacing="0"/>
        <w:ind w:firstLine="539"/>
        <w:jc w:val="both"/>
        <w:rPr>
          <w:rFonts w:eastAsia="Tahoma"/>
          <w:i/>
          <w:iCs/>
          <w:color w:val="000000"/>
          <w:shd w:val="clear" w:color="auto" w:fill="FFFFFF"/>
        </w:rPr>
      </w:pPr>
      <w:r>
        <w:rPr>
          <w:rFonts w:eastAsia="Tahoma"/>
          <w:i/>
          <w:iCs/>
          <w:color w:val="000000"/>
          <w:shd w:val="clear" w:color="auto" w:fill="FFFFFF"/>
        </w:rPr>
        <w:t>2. изменения и допълнения в подзаконови нормативни актове, необходими за изпълнението на този закон във връзка с въвеждане на еврото като парична единица на Република България.</w:t>
      </w:r>
    </w:p>
    <w:p w14:paraId="33256E56">
      <w:pPr>
        <w:spacing w:before="0" w:beforeAutospacing="0" w:after="0" w:afterAutospacing="0"/>
        <w:ind w:firstLine="539"/>
        <w:jc w:val="both"/>
        <w:rPr>
          <w:rFonts w:eastAsia="Tahoma"/>
          <w:i/>
          <w:iCs/>
          <w:color w:val="000000"/>
          <w:shd w:val="clear" w:color="auto" w:fill="FFFFFF"/>
        </w:rPr>
      </w:pPr>
      <w:r>
        <w:rPr>
          <w:rFonts w:eastAsia="Tahoma"/>
          <w:i/>
          <w:iCs/>
          <w:color w:val="000000"/>
          <w:shd w:val="clear" w:color="auto" w:fill="FFFFFF"/>
        </w:rPr>
        <w:t>(2) Измененията и допълненията в актовете по ал. 1, т. 2 влизат в сила от датата на въвеждане на еврото в Република България.</w:t>
      </w:r>
    </w:p>
    <w:p w14:paraId="636A04B1">
      <w:pPr>
        <w:spacing w:before="0" w:beforeAutospacing="0" w:after="0" w:afterAutospacing="0"/>
        <w:ind w:firstLine="539"/>
        <w:jc w:val="both"/>
        <w:rPr>
          <w:bCs/>
        </w:rPr>
      </w:pPr>
      <w:r>
        <w:rPr>
          <w:bCs/>
        </w:rPr>
        <w:t>С разпоредбите на Глава трета от ЗВЕРБ са регламентирани правилата за превалутиране, които са съобразени при изготвяне на проекта за изменение на настоящата наредба. В съответствие с тях, в предложения проект е предвидено всички суми в лева да бъдат посочени в евро, при спазване правилата за превалутиране. Предвидено е изменените текстове на Наредбата в резултат от въвеждането на еврото като парична единица, да влязат в сила и да се прилагат считано от от датата, определена в Решение на Съвета на Европейския съюз за приемането на еврото от Република България, прието в съответствие с чл. 140, параграф 2 от ДФЕС, и Регламент на Съвета на Европейския съюз, приет в съответствие с чл. 140, параграф 3 от ДФЕС. Разпоредбите на закона предвиждат период на двойно обозначаване на цените на стоките и услугите и период на двойно обращение, което налага за определен период от време след въвеждането на еврото като официална валута в текстовете на наредбите да са налични обозначения на сумите и в лева и в евро.</w:t>
      </w:r>
    </w:p>
    <w:p w14:paraId="2B6DE5DF">
      <w:pPr>
        <w:spacing w:before="0" w:beforeAutospacing="0" w:after="0" w:afterAutospacing="0"/>
        <w:ind w:firstLine="539"/>
        <w:jc w:val="both"/>
        <w:rPr>
          <w:bCs/>
        </w:rPr>
      </w:pPr>
      <w:r>
        <w:rPr>
          <w:bCs/>
        </w:rPr>
        <w:t xml:space="preserve">Горните обстоятелства налагат приемането на Наредба за изменение и допълнение на </w:t>
      </w:r>
      <w:r>
        <w:rPr>
          <w:b/>
        </w:rPr>
        <w:t xml:space="preserve">Наредбата за изменение и допълнение на </w:t>
      </w:r>
      <w:r>
        <w:rPr>
          <w:b/>
          <w:spacing w:val="-2"/>
        </w:rPr>
        <w:t xml:space="preserve">НАРЕДБА </w:t>
      </w:r>
      <w:r>
        <w:rPr>
          <w:b/>
        </w:rPr>
        <w:t>за условията и реда за упражняване на правата на собственост на Община Съединение в търговски дружества с общинско участие в капитала и за участието на Общината в граждански дружества и в сдружения</w:t>
      </w:r>
      <w:r>
        <w:rPr>
          <w:b/>
          <w:spacing w:val="-6"/>
        </w:rPr>
        <w:t xml:space="preserve"> </w:t>
      </w:r>
      <w:r>
        <w:rPr>
          <w:b/>
        </w:rPr>
        <w:t>с</w:t>
      </w:r>
      <w:r>
        <w:rPr>
          <w:b/>
          <w:spacing w:val="-4"/>
        </w:rPr>
        <w:t xml:space="preserve"> </w:t>
      </w:r>
      <w:r>
        <w:rPr>
          <w:b/>
        </w:rPr>
        <w:t>нестопанска</w:t>
      </w:r>
      <w:r>
        <w:rPr>
          <w:b/>
          <w:spacing w:val="-4"/>
        </w:rPr>
        <w:t xml:space="preserve"> </w:t>
      </w:r>
      <w:r>
        <w:rPr>
          <w:b/>
        </w:rPr>
        <w:t>цел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сключването</w:t>
      </w:r>
      <w:r>
        <w:rPr>
          <w:b/>
          <w:spacing w:val="-3"/>
        </w:rPr>
        <w:t xml:space="preserve"> </w:t>
      </w:r>
      <w:r>
        <w:rPr>
          <w:b/>
        </w:rPr>
        <w:t>на</w:t>
      </w:r>
      <w:r>
        <w:rPr>
          <w:b/>
          <w:spacing w:val="-3"/>
        </w:rPr>
        <w:t xml:space="preserve"> </w:t>
      </w:r>
      <w:r>
        <w:rPr>
          <w:b/>
        </w:rPr>
        <w:t>договори</w:t>
      </w:r>
      <w:r>
        <w:rPr>
          <w:b/>
          <w:spacing w:val="-5"/>
        </w:rPr>
        <w:t xml:space="preserve"> </w:t>
      </w:r>
      <w:r>
        <w:rPr>
          <w:b/>
        </w:rPr>
        <w:t>за</w:t>
      </w:r>
      <w:r>
        <w:rPr>
          <w:b/>
          <w:spacing w:val="-4"/>
        </w:rPr>
        <w:t xml:space="preserve"> </w:t>
      </w:r>
      <w:r>
        <w:rPr>
          <w:b/>
        </w:rPr>
        <w:t xml:space="preserve">съвместна </w:t>
      </w:r>
      <w:r>
        <w:rPr>
          <w:b/>
          <w:spacing w:val="-2"/>
        </w:rPr>
        <w:t>дейност</w:t>
      </w:r>
      <w:r>
        <w:rPr>
          <w:b/>
        </w:rPr>
        <w:t>.</w:t>
      </w:r>
    </w:p>
    <w:p w14:paraId="060D27A0">
      <w:pPr>
        <w:numPr>
          <w:ilvl w:val="0"/>
          <w:numId w:val="1"/>
        </w:numPr>
        <w:spacing w:before="0" w:beforeAutospacing="0" w:after="0" w:afterAutospacing="0"/>
        <w:ind w:left="0" w:firstLine="540"/>
        <w:jc w:val="both"/>
        <w:rPr>
          <w:rStyle w:val="9"/>
          <w:b/>
        </w:rPr>
      </w:pPr>
      <w:r>
        <w:rPr>
          <w:rStyle w:val="9"/>
          <w:b/>
        </w:rPr>
        <w:t xml:space="preserve"> Целите, които се поставят с издаване на предложената </w:t>
      </w:r>
      <w:r>
        <w:rPr>
          <w:b/>
        </w:rPr>
        <w:t>Наредба</w:t>
      </w:r>
      <w:r>
        <w:rPr>
          <w:rStyle w:val="9"/>
          <w:b/>
        </w:rPr>
        <w:t>, са следните:</w:t>
      </w:r>
    </w:p>
    <w:p w14:paraId="0E3E2FD9">
      <w:pPr>
        <w:spacing w:before="0" w:beforeAutospacing="0" w:after="0" w:afterAutospacing="0"/>
        <w:ind w:firstLine="540"/>
        <w:jc w:val="both"/>
        <w:rPr>
          <w:rStyle w:val="9"/>
        </w:rPr>
      </w:pPr>
      <w:r>
        <w:t xml:space="preserve">Наредбата за изменение и допълнение на </w:t>
      </w:r>
      <w:r>
        <w:rPr>
          <w:b/>
          <w:spacing w:val="-2"/>
        </w:rPr>
        <w:t xml:space="preserve">НАРЕДБА </w:t>
      </w:r>
      <w:r>
        <w:rPr>
          <w:b/>
        </w:rPr>
        <w:t>за условията и реда за упражняване на правата на собственост на Община Съединение в търговски дружества с общинско участие в капитала и за участието на Общината в граждански дружества и в сдружения</w:t>
      </w:r>
      <w:r>
        <w:rPr>
          <w:b/>
          <w:spacing w:val="-6"/>
        </w:rPr>
        <w:t xml:space="preserve"> </w:t>
      </w:r>
      <w:r>
        <w:rPr>
          <w:b/>
        </w:rPr>
        <w:t>с</w:t>
      </w:r>
      <w:r>
        <w:rPr>
          <w:b/>
          <w:spacing w:val="-4"/>
        </w:rPr>
        <w:t xml:space="preserve"> </w:t>
      </w:r>
      <w:r>
        <w:rPr>
          <w:b/>
        </w:rPr>
        <w:t>нестопанска</w:t>
      </w:r>
      <w:r>
        <w:rPr>
          <w:b/>
          <w:spacing w:val="-4"/>
        </w:rPr>
        <w:t xml:space="preserve"> </w:t>
      </w:r>
      <w:r>
        <w:rPr>
          <w:b/>
        </w:rPr>
        <w:t>цел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сключването</w:t>
      </w:r>
      <w:r>
        <w:rPr>
          <w:b/>
          <w:spacing w:val="-3"/>
        </w:rPr>
        <w:t xml:space="preserve"> </w:t>
      </w:r>
      <w:r>
        <w:rPr>
          <w:b/>
        </w:rPr>
        <w:t>на</w:t>
      </w:r>
      <w:r>
        <w:rPr>
          <w:b/>
          <w:spacing w:val="-3"/>
        </w:rPr>
        <w:t xml:space="preserve"> </w:t>
      </w:r>
      <w:r>
        <w:rPr>
          <w:b/>
        </w:rPr>
        <w:t>договори</w:t>
      </w:r>
      <w:r>
        <w:rPr>
          <w:b/>
          <w:spacing w:val="-5"/>
        </w:rPr>
        <w:t xml:space="preserve"> </w:t>
      </w:r>
      <w:r>
        <w:rPr>
          <w:b/>
        </w:rPr>
        <w:t>за</w:t>
      </w:r>
      <w:r>
        <w:rPr>
          <w:b/>
          <w:spacing w:val="-4"/>
        </w:rPr>
        <w:t xml:space="preserve"> </w:t>
      </w:r>
      <w:r>
        <w:rPr>
          <w:b/>
        </w:rPr>
        <w:t xml:space="preserve">съвместна </w:t>
      </w:r>
      <w:r>
        <w:rPr>
          <w:b/>
          <w:spacing w:val="-2"/>
        </w:rPr>
        <w:t>дейност</w:t>
      </w:r>
      <w:r>
        <w:rPr>
          <w:bCs/>
        </w:rPr>
        <w:t xml:space="preserve"> </w:t>
      </w:r>
      <w:r>
        <w:rPr>
          <w:rStyle w:val="9"/>
        </w:rPr>
        <w:t xml:space="preserve">има за цел да приведе подзаконовата нормативна уредба в съответствие с нормативната уредба от по-висока степен - ЗВЕРБ, като регламентира размера на паричните и финансови отношения, уредени от Наредбата, в съответствие със Закона за въвеждане на еврото в Република България. </w:t>
      </w:r>
    </w:p>
    <w:p w14:paraId="1688CC6A">
      <w:pPr>
        <w:spacing w:before="0" w:beforeAutospacing="0" w:after="0" w:afterAutospacing="0"/>
        <w:ind w:firstLine="540"/>
        <w:jc w:val="both"/>
        <w:rPr>
          <w:rStyle w:val="9"/>
        </w:rPr>
      </w:pPr>
      <w:r>
        <w:rPr>
          <w:rStyle w:val="9"/>
          <w:b/>
        </w:rPr>
        <w:t>Финансови и други средства, необходими за прилагането на новата уредба.</w:t>
      </w:r>
    </w:p>
    <w:p w14:paraId="5B7110CA">
      <w:pPr>
        <w:spacing w:before="0" w:beforeAutospacing="0" w:after="0" w:afterAutospacing="0"/>
        <w:ind w:firstLine="540"/>
        <w:jc w:val="both"/>
      </w:pPr>
      <w:r>
        <w:rPr>
          <w:rStyle w:val="9"/>
        </w:rPr>
        <w:t>Прилагането на новата уредба не предвижда ангажирането на допълнителен финансов ресурс в тежест на Община Съединение</w:t>
      </w:r>
      <w:r>
        <w:rPr>
          <w:bCs/>
          <w:lang w:bidi="bg-BG"/>
        </w:rPr>
        <w:t>.</w:t>
      </w:r>
    </w:p>
    <w:p w14:paraId="70E2DFF8">
      <w:pPr>
        <w:numPr>
          <w:ilvl w:val="0"/>
          <w:numId w:val="1"/>
        </w:numPr>
        <w:spacing w:before="0" w:beforeAutospacing="0" w:after="0" w:afterAutospacing="0"/>
        <w:ind w:left="0" w:firstLine="540"/>
        <w:jc w:val="both"/>
        <w:rPr>
          <w:rStyle w:val="9"/>
        </w:rPr>
      </w:pPr>
      <w:r>
        <w:rPr>
          <w:rStyle w:val="9"/>
          <w:b/>
        </w:rPr>
        <w:t xml:space="preserve"> Очакваните резултати от прилагането на Наредбата</w:t>
      </w:r>
      <w:r>
        <w:rPr>
          <w:rStyle w:val="9"/>
        </w:rPr>
        <w:t xml:space="preserve"> са свързани с уреждане на </w:t>
      </w:r>
      <w:r>
        <w:t>обществените отношения, свързани с прилагането на ЗВЕРБ на територията на Община Съединение и актуализиране на размерите на паричните и финансови взаимоотношения, регламентирани от Наредбата, в съответствие с настъпилите обществено-икономически промени в страната.</w:t>
      </w:r>
    </w:p>
    <w:p w14:paraId="08A4C760">
      <w:pPr>
        <w:numPr>
          <w:ilvl w:val="0"/>
          <w:numId w:val="1"/>
        </w:numPr>
        <w:spacing w:before="0" w:beforeAutospacing="0" w:after="0" w:afterAutospacing="0"/>
        <w:ind w:left="0" w:firstLine="540"/>
        <w:jc w:val="both"/>
        <w:rPr>
          <w:rStyle w:val="9"/>
        </w:rPr>
      </w:pPr>
      <w:r>
        <w:rPr>
          <w:rStyle w:val="9"/>
          <w:b/>
        </w:rPr>
        <w:t xml:space="preserve"> Анализ за съответствие с правото на Европейския съюз.</w:t>
      </w:r>
    </w:p>
    <w:p w14:paraId="7A0EFB3C">
      <w:pPr>
        <w:spacing w:before="0" w:beforeAutospacing="0" w:after="0" w:afterAutospacing="0"/>
        <w:ind w:firstLine="540"/>
        <w:jc w:val="both"/>
        <w:rPr>
          <w:rStyle w:val="9"/>
        </w:rPr>
      </w:pPr>
      <w:r>
        <w:rPr>
          <w:rStyle w:val="9"/>
        </w:rPr>
        <w:t xml:space="preserve">Предложеният проект на </w:t>
      </w:r>
      <w:r>
        <w:rPr>
          <w:b/>
        </w:rPr>
        <w:t xml:space="preserve">Наредба за изменение и допълнение на </w:t>
      </w:r>
      <w:r>
        <w:rPr>
          <w:b/>
          <w:spacing w:val="-2"/>
        </w:rPr>
        <w:t xml:space="preserve">НАРЕДБА </w:t>
      </w:r>
      <w:r>
        <w:rPr>
          <w:b/>
        </w:rPr>
        <w:t>за условията и реда за упражняване на правата на собственост на Община Съединение в търговски дружества с общинско участие в капитала и за участието на Общината в граждански дружества и в сдружения</w:t>
      </w:r>
      <w:r>
        <w:rPr>
          <w:b/>
          <w:spacing w:val="-6"/>
        </w:rPr>
        <w:t xml:space="preserve"> </w:t>
      </w:r>
      <w:r>
        <w:rPr>
          <w:b/>
        </w:rPr>
        <w:t>с</w:t>
      </w:r>
      <w:r>
        <w:rPr>
          <w:b/>
          <w:spacing w:val="-4"/>
        </w:rPr>
        <w:t xml:space="preserve"> </w:t>
      </w:r>
      <w:r>
        <w:rPr>
          <w:b/>
        </w:rPr>
        <w:t>нестопанска</w:t>
      </w:r>
      <w:r>
        <w:rPr>
          <w:b/>
          <w:spacing w:val="-4"/>
        </w:rPr>
        <w:t xml:space="preserve"> </w:t>
      </w:r>
      <w:r>
        <w:rPr>
          <w:b/>
        </w:rPr>
        <w:t>цел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сключването</w:t>
      </w:r>
      <w:r>
        <w:rPr>
          <w:b/>
          <w:spacing w:val="-3"/>
        </w:rPr>
        <w:t xml:space="preserve"> </w:t>
      </w:r>
      <w:r>
        <w:rPr>
          <w:b/>
        </w:rPr>
        <w:t>на</w:t>
      </w:r>
      <w:r>
        <w:rPr>
          <w:b/>
          <w:spacing w:val="-3"/>
        </w:rPr>
        <w:t xml:space="preserve"> </w:t>
      </w:r>
      <w:r>
        <w:rPr>
          <w:b/>
        </w:rPr>
        <w:t>договори</w:t>
      </w:r>
      <w:r>
        <w:rPr>
          <w:b/>
          <w:spacing w:val="-5"/>
        </w:rPr>
        <w:t xml:space="preserve"> </w:t>
      </w:r>
      <w:r>
        <w:rPr>
          <w:b/>
        </w:rPr>
        <w:t>за</w:t>
      </w:r>
      <w:r>
        <w:rPr>
          <w:b/>
          <w:spacing w:val="-4"/>
        </w:rPr>
        <w:t xml:space="preserve"> </w:t>
      </w:r>
      <w:r>
        <w:rPr>
          <w:b/>
        </w:rPr>
        <w:t xml:space="preserve">съвместна </w:t>
      </w:r>
      <w:r>
        <w:rPr>
          <w:b/>
          <w:spacing w:val="-2"/>
        </w:rPr>
        <w:t>дейност</w:t>
      </w:r>
      <w:r>
        <w:rPr>
          <w:b/>
        </w:rPr>
        <w:t xml:space="preserve"> </w:t>
      </w:r>
      <w:r>
        <w:rPr>
          <w:rStyle w:val="9"/>
        </w:rPr>
        <w:t>не противоречи на норми на Европейския съюз. Наредбата е подзаконов нормативен акт, поради което съответствието й с правото на Европейския съюз е предопределено от съответствието с правото на Европейския съюз на нормите от националното ни законодателство от по-висока степен, в изпълнение на които е приета – в настоящия случай това са нормите на ЗВЕРБ</w:t>
      </w:r>
      <w:r>
        <w:t>,</w:t>
      </w:r>
      <w:r>
        <w:rPr>
          <w:rStyle w:val="9"/>
        </w:rPr>
        <w:t xml:space="preserve"> които са синхронизирани с тези на правото на ЕС. </w:t>
      </w:r>
    </w:p>
    <w:p w14:paraId="0D552F39">
      <w:pPr>
        <w:spacing w:before="0" w:beforeAutospacing="0" w:after="0" w:afterAutospacing="0"/>
        <w:ind w:firstLine="540"/>
        <w:jc w:val="both"/>
      </w:pPr>
      <w:r>
        <w:rPr>
          <w:rStyle w:val="9"/>
        </w:rPr>
        <w:t>В качеството си на подзаконов нормативен акт, наредбата е в съответствие и с разпоредбите на Европейската харта за местното самоуправление и директивите на Европейската общност, свързани с урежданата с Наредбата материя.</w:t>
      </w:r>
    </w:p>
    <w:p w14:paraId="024CC60A">
      <w:pPr>
        <w:spacing w:before="0" w:beforeAutospacing="0" w:after="0" w:afterAutospacing="0"/>
        <w:ind w:firstLine="540"/>
        <w:jc w:val="both"/>
      </w:pPr>
      <w:r>
        <w:t xml:space="preserve">Настоящият доклад, ведно с проекта за </w:t>
      </w:r>
      <w:r>
        <w:rPr>
          <w:b/>
        </w:rPr>
        <w:t xml:space="preserve">Наредба за изменение и допълнение на </w:t>
      </w:r>
      <w:r>
        <w:rPr>
          <w:b/>
          <w:spacing w:val="-2"/>
        </w:rPr>
        <w:t xml:space="preserve">НАРЕДБА </w:t>
      </w:r>
      <w:r>
        <w:rPr>
          <w:b/>
        </w:rPr>
        <w:t>за условията и реда за упражняване на правата на собственост на Община Съединение в търговски дружества с общинско участие в капитала и за участието на Общината в граждански дружества и в сдружения</w:t>
      </w:r>
      <w:r>
        <w:rPr>
          <w:b/>
          <w:spacing w:val="-6"/>
        </w:rPr>
        <w:t xml:space="preserve"> </w:t>
      </w:r>
      <w:r>
        <w:rPr>
          <w:b/>
        </w:rPr>
        <w:t>с</w:t>
      </w:r>
      <w:r>
        <w:rPr>
          <w:b/>
          <w:spacing w:val="-4"/>
        </w:rPr>
        <w:t xml:space="preserve"> </w:t>
      </w:r>
      <w:r>
        <w:rPr>
          <w:b/>
        </w:rPr>
        <w:t>нестопанска</w:t>
      </w:r>
      <w:r>
        <w:rPr>
          <w:b/>
          <w:spacing w:val="-4"/>
        </w:rPr>
        <w:t xml:space="preserve"> </w:t>
      </w:r>
      <w:r>
        <w:rPr>
          <w:b/>
        </w:rPr>
        <w:t>цел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сключването</w:t>
      </w:r>
      <w:r>
        <w:rPr>
          <w:b/>
          <w:spacing w:val="-3"/>
        </w:rPr>
        <w:t xml:space="preserve"> </w:t>
      </w:r>
      <w:r>
        <w:rPr>
          <w:b/>
        </w:rPr>
        <w:t>на</w:t>
      </w:r>
      <w:r>
        <w:rPr>
          <w:b/>
          <w:spacing w:val="-3"/>
        </w:rPr>
        <w:t xml:space="preserve"> </w:t>
      </w:r>
      <w:r>
        <w:rPr>
          <w:b/>
        </w:rPr>
        <w:t>договори</w:t>
      </w:r>
      <w:r>
        <w:rPr>
          <w:b/>
          <w:spacing w:val="-5"/>
        </w:rPr>
        <w:t xml:space="preserve"> </w:t>
      </w:r>
      <w:r>
        <w:rPr>
          <w:b/>
        </w:rPr>
        <w:t>за</w:t>
      </w:r>
      <w:r>
        <w:rPr>
          <w:b/>
          <w:spacing w:val="-4"/>
        </w:rPr>
        <w:t xml:space="preserve"> </w:t>
      </w:r>
      <w:r>
        <w:rPr>
          <w:b/>
        </w:rPr>
        <w:t xml:space="preserve">съвместна </w:t>
      </w:r>
      <w:r>
        <w:rPr>
          <w:b/>
          <w:spacing w:val="-2"/>
        </w:rPr>
        <w:t>дейност</w:t>
      </w:r>
      <w:r>
        <w:rPr>
          <w:b/>
        </w:rPr>
        <w:t>,</w:t>
      </w:r>
      <w:r>
        <w:t xml:space="preserve"> и </w:t>
      </w:r>
      <w:r>
        <w:rPr>
          <w:bCs/>
        </w:rPr>
        <w:t xml:space="preserve">Предварителната оценка на въздействието на Наредбата, </w:t>
      </w:r>
      <w:r>
        <w:t>следва да бъде публично оповестен на интернет страницата на Община Съединение. След изтичането на срока за оповестяването му, проектът на Наредбата, ведно с настоящия доклад и постъпилите предложения и становища от заинтересованите лица, следва да бъде внесен за обсъждане от общински съвет Съединение.</w:t>
      </w:r>
    </w:p>
    <w:p w14:paraId="05660E99">
      <w:pPr>
        <w:spacing w:before="0" w:beforeAutospacing="0" w:after="0" w:afterAutospacing="0"/>
        <w:ind w:firstLine="540"/>
        <w:jc w:val="both"/>
      </w:pPr>
    </w:p>
    <w:p w14:paraId="3059952F">
      <w:pPr>
        <w:spacing w:before="0" w:beforeAutospacing="0" w:after="0" w:afterAutospacing="0"/>
        <w:ind w:firstLine="540"/>
        <w:jc w:val="both"/>
      </w:pPr>
      <w:r>
        <w:t>Изготвил доклада: адв. Иван Колев – юрист при община Съединение.</w:t>
      </w:r>
    </w:p>
    <w:p w14:paraId="43B2ECE8">
      <w:pPr>
        <w:spacing w:before="0" w:beforeAutospacing="0" w:after="0" w:afterAutospacing="0"/>
        <w:ind w:firstLine="540"/>
        <w:jc w:val="both"/>
      </w:pPr>
    </w:p>
    <w:p w14:paraId="428F92F7">
      <w:pPr>
        <w:spacing w:before="0" w:beforeAutospacing="0" w:after="0" w:afterAutospacing="0"/>
        <w:ind w:firstLine="540"/>
        <w:jc w:val="both"/>
      </w:pPr>
      <w:r>
        <w:t>Вносител на нормативния акт: Георги Руменов – Кмет на община Съединение.</w:t>
      </w:r>
    </w:p>
    <w:p w14:paraId="52BC3C20"/>
    <w:p w14:paraId="697E2454"/>
    <w:p w14:paraId="4E8CD443"/>
    <w:p w14:paraId="3A95F417">
      <w:bookmarkStart w:id="0" w:name="_GoBack"/>
      <w:bookmarkEnd w:id="0"/>
    </w:p>
    <w:sectPr>
      <w:pgSz w:w="11906" w:h="16838"/>
      <w:pgMar w:top="960" w:right="986" w:bottom="998" w:left="13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Kvan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EF130B"/>
    <w:multiLevelType w:val="multilevel"/>
    <w:tmpl w:val="54EF130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720"/>
  <w:hyphenationZone w:val="425"/>
  <w:drawingGridVerticalSpacing w:val="156"/>
  <w:noPunctuationKerning w:val="1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D61C3"/>
    <w:rsid w:val="002B62A9"/>
    <w:rsid w:val="002C7CD4"/>
    <w:rsid w:val="003A69A5"/>
    <w:rsid w:val="00665431"/>
    <w:rsid w:val="00785845"/>
    <w:rsid w:val="008B5CE6"/>
    <w:rsid w:val="00B1372F"/>
    <w:rsid w:val="00F036C1"/>
    <w:rsid w:val="04C9187E"/>
    <w:rsid w:val="08040590"/>
    <w:rsid w:val="0AD255FB"/>
    <w:rsid w:val="0B8A164B"/>
    <w:rsid w:val="0C5A0B1E"/>
    <w:rsid w:val="0D193C59"/>
    <w:rsid w:val="101A2EB0"/>
    <w:rsid w:val="104072BA"/>
    <w:rsid w:val="12B92E86"/>
    <w:rsid w:val="13404638"/>
    <w:rsid w:val="159E665F"/>
    <w:rsid w:val="17D13AD5"/>
    <w:rsid w:val="18D9445C"/>
    <w:rsid w:val="1EEA7B70"/>
    <w:rsid w:val="1EF42755"/>
    <w:rsid w:val="20D7555A"/>
    <w:rsid w:val="213110FE"/>
    <w:rsid w:val="24407726"/>
    <w:rsid w:val="26F50B46"/>
    <w:rsid w:val="28BF6F68"/>
    <w:rsid w:val="2DD85A78"/>
    <w:rsid w:val="2E412CAC"/>
    <w:rsid w:val="2FEE3628"/>
    <w:rsid w:val="31900060"/>
    <w:rsid w:val="326A53EE"/>
    <w:rsid w:val="345028D5"/>
    <w:rsid w:val="346C040E"/>
    <w:rsid w:val="357D3633"/>
    <w:rsid w:val="360C593C"/>
    <w:rsid w:val="375E189F"/>
    <w:rsid w:val="3CE626B3"/>
    <w:rsid w:val="424E4805"/>
    <w:rsid w:val="432E509D"/>
    <w:rsid w:val="47904979"/>
    <w:rsid w:val="4BEF08FA"/>
    <w:rsid w:val="4D7B7DB5"/>
    <w:rsid w:val="4DEE4F14"/>
    <w:rsid w:val="4E244E42"/>
    <w:rsid w:val="4FEA20D5"/>
    <w:rsid w:val="5217603C"/>
    <w:rsid w:val="530E392A"/>
    <w:rsid w:val="5479197D"/>
    <w:rsid w:val="550D61C3"/>
    <w:rsid w:val="56141D44"/>
    <w:rsid w:val="5812067F"/>
    <w:rsid w:val="5AD1345A"/>
    <w:rsid w:val="5C0B0191"/>
    <w:rsid w:val="5E0C5358"/>
    <w:rsid w:val="5E6A1984"/>
    <w:rsid w:val="5F332BBC"/>
    <w:rsid w:val="618B1C58"/>
    <w:rsid w:val="64246FC7"/>
    <w:rsid w:val="65F8295A"/>
    <w:rsid w:val="6C0E4753"/>
    <w:rsid w:val="6C1B11DE"/>
    <w:rsid w:val="6C51676E"/>
    <w:rsid w:val="6C5F4FE0"/>
    <w:rsid w:val="6ECA4FB0"/>
    <w:rsid w:val="758170A7"/>
    <w:rsid w:val="75AC5951"/>
    <w:rsid w:val="77884111"/>
    <w:rsid w:val="78EA3AE5"/>
    <w:rsid w:val="7F14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bg-BG" w:eastAsia="bg-BG" w:bidi="ar-SA"/>
    </w:rPr>
  </w:style>
  <w:style w:type="paragraph" w:styleId="2">
    <w:name w:val="heading 2"/>
    <w:basedOn w:val="1"/>
    <w:unhideWhenUsed/>
    <w:qFormat/>
    <w:uiPriority w:val="9"/>
    <w:pPr>
      <w:spacing w:before="9"/>
      <w:ind w:left="-1" w:right="301"/>
      <w:jc w:val="center"/>
      <w:outlineLvl w:val="1"/>
    </w:pPr>
    <w:rPr>
      <w:b/>
      <w:bCs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"/>
    <w:basedOn w:val="1"/>
    <w:qFormat/>
    <w:uiPriority w:val="0"/>
    <w:pPr>
      <w:spacing w:after="120"/>
      <w:ind w:left="283"/>
    </w:pPr>
  </w:style>
  <w:style w:type="paragraph" w:styleId="6">
    <w:name w:val="footer"/>
    <w:basedOn w:val="1"/>
    <w:unhideWhenUsed/>
    <w:qFormat/>
    <w:uiPriority w:val="0"/>
    <w:pPr>
      <w:tabs>
        <w:tab w:val="center" w:pos="4536"/>
        <w:tab w:val="right" w:pos="9072"/>
      </w:tabs>
      <w:spacing w:after="0"/>
    </w:pPr>
    <w:rPr>
      <w:rFonts w:eastAsiaTheme="minorHAnsi"/>
      <w:lang w:eastAsia="en-US"/>
    </w:rPr>
  </w:style>
  <w:style w:type="paragraph" w:styleId="7">
    <w:name w:val="header"/>
    <w:basedOn w:val="1"/>
    <w:unhideWhenUsed/>
    <w:qFormat/>
    <w:uiPriority w:val="0"/>
    <w:pPr>
      <w:tabs>
        <w:tab w:val="center" w:pos="4536"/>
        <w:tab w:val="right" w:pos="9072"/>
      </w:tabs>
      <w:spacing w:after="0"/>
    </w:pPr>
    <w:rPr>
      <w:rFonts w:eastAsiaTheme="minorHAnsi"/>
      <w:lang w:eastAsia="en-US"/>
    </w:rPr>
  </w:style>
  <w:style w:type="character" w:styleId="8">
    <w:name w:val="Hyperlink"/>
    <w:basedOn w:val="3"/>
    <w:qFormat/>
    <w:uiPriority w:val="0"/>
    <w:rPr>
      <w:color w:val="0000FF"/>
      <w:u w:val="single"/>
    </w:rPr>
  </w:style>
  <w:style w:type="character" w:customStyle="1" w:styleId="9">
    <w:name w:val="al_t2"/>
    <w:basedOn w:val="3"/>
    <w:qFormat/>
    <w:uiPriority w:val="0"/>
  </w:style>
  <w:style w:type="paragraph" w:styleId="10">
    <w:name w:val="No Spacing"/>
    <w:qFormat/>
    <w:uiPriority w:val="1"/>
    <w:rPr>
      <w:rFonts w:asciiTheme="minorHAnsi" w:hAnsiTheme="minorHAnsi" w:eastAsiaTheme="minorEastAsia" w:cstheme="minorBidi"/>
      <w:sz w:val="22"/>
      <w:szCs w:val="22"/>
      <w:lang w:val="bg-BG" w:eastAsia="bg-BG" w:bidi="ar-SA"/>
    </w:rPr>
  </w:style>
  <w:style w:type="character" w:customStyle="1" w:styleId="11">
    <w:name w:val="al_a2"/>
    <w:qFormat/>
    <w:uiPriority w:val="0"/>
  </w:style>
  <w:style w:type="paragraph" w:customStyle="1" w:styleId="12">
    <w:name w:val="Text"/>
    <w:basedOn w:val="1"/>
    <w:qFormat/>
    <w:uiPriority w:val="0"/>
    <w:pPr>
      <w:ind w:firstLine="851"/>
      <w:jc w:val="both"/>
    </w:pPr>
    <w:rPr>
      <w:rFonts w:ascii="Kvant" w:hAnsi="Kvant"/>
      <w:spacing w:val="10"/>
      <w:sz w:val="26"/>
      <w:lang w:val="en-GB" w:eastAsia="en-US"/>
    </w:rPr>
  </w:style>
  <w:style w:type="paragraph" w:customStyle="1" w:styleId="13">
    <w:name w:val="Table Paragraph"/>
    <w:basedOn w:val="1"/>
    <w:qFormat/>
    <w:uiPriority w:val="1"/>
  </w:style>
  <w:style w:type="table" w:customStyle="1" w:styleId="14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3276</Words>
  <Characters>18679</Characters>
  <Lines>155</Lines>
  <Paragraphs>43</Paragraphs>
  <TotalTime>0</TotalTime>
  <ScaleCrop>false</ScaleCrop>
  <LinksUpToDate>false</LinksUpToDate>
  <CharactersWithSpaces>21912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2025-01-11T14:13:00Z</dcterms:created>
  <dc:creator>user</dc:creator>
  <cp:lastModifiedBy>user</cp:lastModifiedBy>
  <dcterms:modified xsi:type="dcterms:W3CDTF">2025-10-21T13:21:34Z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83BF270CA6594E50A5E69D796D656A0E_13</vt:lpwstr>
  </property>
</Properties>
</file>